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附件：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36"/>
          <w:szCs w:val="36"/>
          <w:shd w:val="clear" w:fill="FFFFFF"/>
        </w:rPr>
        <w:t>促进企业兼并重组任务分工表</w:t>
      </w:r>
    </w:p>
    <w:tbl>
      <w:tblPr>
        <w:tblW w:w="9599" w:type="dxa"/>
        <w:jc w:val="center"/>
        <w:tblInd w:w="-586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outset" w:color="000000" w:sz="6" w:space="0"/>
          <w:insideV w:val="outset" w:color="000000" w:sz="6" w:space="0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600"/>
        <w:gridCol w:w="3885"/>
        <w:gridCol w:w="1828"/>
        <w:gridCol w:w="3286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4"/>
                <w:rFonts w:hint="eastAsia" w:ascii="宋体" w:hAnsi="宋体" w:eastAsia="宋体" w:cs="宋体"/>
                <w:caps w:val="0"/>
                <w:spacing w:val="0"/>
                <w:sz w:val="20"/>
                <w:szCs w:val="20"/>
              </w:rPr>
              <w:t>序号</w:t>
            </w:r>
          </w:p>
        </w:tc>
        <w:tc>
          <w:tcPr>
            <w:tcW w:w="38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4"/>
                <w:rFonts w:hint="eastAsia" w:ascii="宋体" w:hAnsi="宋体" w:eastAsia="宋体" w:cs="宋体"/>
                <w:caps w:val="0"/>
                <w:spacing w:val="0"/>
                <w:sz w:val="20"/>
                <w:szCs w:val="20"/>
              </w:rPr>
              <w:t>工　作　任　务</w:t>
            </w:r>
          </w:p>
        </w:tc>
        <w:tc>
          <w:tcPr>
            <w:tcW w:w="182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4"/>
                <w:rFonts w:hint="eastAsia" w:ascii="宋体" w:hAnsi="宋体" w:eastAsia="宋体" w:cs="宋体"/>
                <w:caps w:val="0"/>
                <w:spacing w:val="0"/>
                <w:sz w:val="20"/>
                <w:szCs w:val="20"/>
              </w:rPr>
              <w:t>牵头单位</w:t>
            </w:r>
          </w:p>
        </w:tc>
        <w:tc>
          <w:tcPr>
            <w:tcW w:w="32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4"/>
                <w:rFonts w:hint="eastAsia" w:ascii="宋体" w:hAnsi="宋体" w:eastAsia="宋体" w:cs="宋体"/>
                <w:caps w:val="0"/>
                <w:spacing w:val="0"/>
                <w:sz w:val="20"/>
                <w:szCs w:val="20"/>
              </w:rPr>
              <w:t>参加单位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outset" w:color="000000" w:sz="6" w:space="0"/>
            <w:insideV w:val="outset" w:color="000000" w:sz="6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38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清理取消阻碍企业兼并重组的规定。</w:t>
            </w:r>
          </w:p>
        </w:tc>
        <w:tc>
          <w:tcPr>
            <w:tcW w:w="182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工业和信息化部</w:t>
            </w:r>
          </w:p>
        </w:tc>
        <w:tc>
          <w:tcPr>
            <w:tcW w:w="32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各省、自治区、直辖市人民政府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outset" w:color="000000" w:sz="6" w:space="0"/>
            <w:insideV w:val="outset" w:color="000000" w:sz="6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38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放宽民营资本的市场准入。</w:t>
            </w:r>
          </w:p>
        </w:tc>
        <w:tc>
          <w:tcPr>
            <w:tcW w:w="182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工业和信息化部</w:t>
            </w:r>
          </w:p>
        </w:tc>
        <w:tc>
          <w:tcPr>
            <w:tcW w:w="32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发展改革委、国土资源部、工商总局、银监会等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outset" w:color="000000" w:sz="6" w:space="0"/>
            <w:insideV w:val="outset" w:color="000000" w:sz="6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38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完善和落实企业兼并重组的税收优惠政策。</w:t>
            </w:r>
          </w:p>
        </w:tc>
        <w:tc>
          <w:tcPr>
            <w:tcW w:w="182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财政部</w:t>
            </w:r>
          </w:p>
        </w:tc>
        <w:tc>
          <w:tcPr>
            <w:tcW w:w="32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税务总局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outset" w:color="000000" w:sz="6" w:space="0"/>
            <w:insideV w:val="outset" w:color="000000" w:sz="6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38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鼓励商业银行开展并购贷款业务，扩大贷款规模。鼓励商业银行对兼并重组后的企业实行综合授信。通过并购贷款、境内外银团贷款、贷款贴息等方式支持企业跨国并购。</w:t>
            </w:r>
          </w:p>
        </w:tc>
        <w:tc>
          <w:tcPr>
            <w:tcW w:w="182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银监会、人民银行</w:t>
            </w:r>
          </w:p>
        </w:tc>
        <w:tc>
          <w:tcPr>
            <w:tcW w:w="32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发展改革委、工业和信息化部、财政部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outset" w:color="000000" w:sz="6" w:space="0"/>
            <w:insideV w:val="outset" w:color="000000" w:sz="6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38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积极探索设立专门并购基金等兼并重组融资新模式，完善股权投资退出机制。支持符合条件的企业通过发行股票、债券、可转换债等为兼并重组融资。</w:t>
            </w:r>
          </w:p>
        </w:tc>
        <w:tc>
          <w:tcPr>
            <w:tcW w:w="182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证监会、发展改革委</w:t>
            </w:r>
          </w:p>
        </w:tc>
        <w:tc>
          <w:tcPr>
            <w:tcW w:w="32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工业和信息化部、财政部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outset" w:color="000000" w:sz="6" w:space="0"/>
            <w:insideV w:val="outset" w:color="000000" w:sz="6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38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在中央国有资本经营预算中设立专项资金，支持中央企业兼并重组。</w:t>
            </w:r>
          </w:p>
        </w:tc>
        <w:tc>
          <w:tcPr>
            <w:tcW w:w="182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财政部</w:t>
            </w:r>
          </w:p>
        </w:tc>
        <w:tc>
          <w:tcPr>
            <w:tcW w:w="32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国资委、发展改革委、工业和信息化部、商务部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outset" w:color="000000" w:sz="6" w:space="0"/>
            <w:insideV w:val="outset" w:color="000000" w:sz="6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38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鼓励地方人民政府通过财政贴息、信贷奖励补助等方式，激励商业银行加大对企业兼并重组的信贷支持力度。有条件的地方可设立企业兼并重组专项资金。</w:t>
            </w:r>
          </w:p>
        </w:tc>
        <w:tc>
          <w:tcPr>
            <w:tcW w:w="182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各省、自治区、直辖市人民政府</w:t>
            </w:r>
          </w:p>
        </w:tc>
        <w:tc>
          <w:tcPr>
            <w:tcW w:w="32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outset" w:color="000000" w:sz="6" w:space="0"/>
            <w:insideV w:val="outset" w:color="000000" w:sz="6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38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进一步推进资本市场企业并购重组的市场化改革，健全市场化定价机制，完善相关规章及配套政策，支持企业利用资本市场开展兼并重组。鼓励上市公司以股权、现金及其他金融创新方式作为兼并重组的支付手段。</w:t>
            </w:r>
          </w:p>
        </w:tc>
        <w:tc>
          <w:tcPr>
            <w:tcW w:w="182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证监会</w:t>
            </w:r>
          </w:p>
        </w:tc>
        <w:tc>
          <w:tcPr>
            <w:tcW w:w="32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发展改革委、财政部、商务部、人民银行、银监会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outset" w:color="000000" w:sz="6" w:space="0"/>
            <w:insideV w:val="outset" w:color="000000" w:sz="6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38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完善土地使用优惠政策。</w:t>
            </w:r>
          </w:p>
        </w:tc>
        <w:tc>
          <w:tcPr>
            <w:tcW w:w="182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国土资源部</w:t>
            </w:r>
          </w:p>
        </w:tc>
        <w:tc>
          <w:tcPr>
            <w:tcW w:w="32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财政部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outset" w:color="000000" w:sz="6" w:space="0"/>
            <w:insideV w:val="outset" w:color="000000" w:sz="6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0"/>
                <w:szCs w:val="20"/>
              </w:rPr>
              <w:t>10</w:t>
            </w:r>
          </w:p>
        </w:tc>
        <w:tc>
          <w:tcPr>
            <w:tcW w:w="38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加大对兼并重组企业技术改造支持力度。支持有条件的企业建立企业技术中心。鼓励和引导企业通过兼并重组淘汰落后产能，切实防止以兼并重组为名盲目扩张产能和低水平重复建设。</w:t>
            </w:r>
          </w:p>
        </w:tc>
        <w:tc>
          <w:tcPr>
            <w:tcW w:w="182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发展改革委、工业和信息化部</w:t>
            </w:r>
          </w:p>
        </w:tc>
        <w:tc>
          <w:tcPr>
            <w:tcW w:w="32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财政部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outset" w:color="000000" w:sz="6" w:space="0"/>
            <w:insideV w:val="outset" w:color="000000" w:sz="6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0"/>
                <w:szCs w:val="20"/>
              </w:rPr>
              <w:t>11</w:t>
            </w:r>
          </w:p>
        </w:tc>
        <w:tc>
          <w:tcPr>
            <w:tcW w:w="38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研究债务重组政策措施，支持资产管理公司、创业投资企业、股权投资基金、产业投资基金等机构参与被兼并企业的债务处置。</w:t>
            </w:r>
          </w:p>
        </w:tc>
        <w:tc>
          <w:tcPr>
            <w:tcW w:w="182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财政部</w:t>
            </w:r>
          </w:p>
        </w:tc>
        <w:tc>
          <w:tcPr>
            <w:tcW w:w="32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发展改革委、人民银行、国资委、银监会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outset" w:color="000000" w:sz="6" w:space="0"/>
            <w:insideV w:val="outset" w:color="000000" w:sz="6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0"/>
                <w:szCs w:val="20"/>
              </w:rPr>
              <w:t>12</w:t>
            </w:r>
          </w:p>
        </w:tc>
        <w:tc>
          <w:tcPr>
            <w:tcW w:w="38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制订完善相关政策措施，继续支持国有企业实施主辅分离、辅业改制和分流安置富余人员。</w:t>
            </w:r>
          </w:p>
        </w:tc>
        <w:tc>
          <w:tcPr>
            <w:tcW w:w="182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财政部、国资委</w:t>
            </w:r>
          </w:p>
        </w:tc>
        <w:tc>
          <w:tcPr>
            <w:tcW w:w="32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人力资源社会保障部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outset" w:color="000000" w:sz="6" w:space="0"/>
            <w:insideV w:val="outset" w:color="000000" w:sz="6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0"/>
                <w:szCs w:val="20"/>
              </w:rPr>
              <w:t>13</w:t>
            </w:r>
          </w:p>
        </w:tc>
        <w:tc>
          <w:tcPr>
            <w:tcW w:w="38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落实积极的就业政策，促进下岗失业人员再就业。</w:t>
            </w:r>
          </w:p>
        </w:tc>
        <w:tc>
          <w:tcPr>
            <w:tcW w:w="182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人力资源社会保障部、财政部，各省、自治区、直辖市人民政府</w:t>
            </w:r>
          </w:p>
        </w:tc>
        <w:tc>
          <w:tcPr>
            <w:tcW w:w="32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国资委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outset" w:color="000000" w:sz="6" w:space="0"/>
            <w:insideV w:val="outset" w:color="000000" w:sz="6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0"/>
                <w:szCs w:val="20"/>
              </w:rPr>
              <w:t>14</w:t>
            </w:r>
          </w:p>
        </w:tc>
        <w:tc>
          <w:tcPr>
            <w:tcW w:w="38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建立促进境内外并购活动的公共服务平台</w:t>
            </w:r>
          </w:p>
        </w:tc>
        <w:tc>
          <w:tcPr>
            <w:tcW w:w="182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工业和信息化部</w:t>
            </w:r>
          </w:p>
        </w:tc>
        <w:tc>
          <w:tcPr>
            <w:tcW w:w="32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发展改革委、商务部、证监会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outset" w:color="000000" w:sz="6" w:space="0"/>
            <w:insideV w:val="outset" w:color="000000" w:sz="6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0"/>
                <w:szCs w:val="20"/>
              </w:rPr>
              <w:t>15</w:t>
            </w:r>
          </w:p>
        </w:tc>
        <w:tc>
          <w:tcPr>
            <w:tcW w:w="38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发挥境内银行、证券公司等金融机构在跨国并购中的咨询服务作用，指导和帮助企业制定境外并购风险防范和应对方案。</w:t>
            </w:r>
          </w:p>
        </w:tc>
        <w:tc>
          <w:tcPr>
            <w:tcW w:w="182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商务部</w:t>
            </w:r>
          </w:p>
        </w:tc>
        <w:tc>
          <w:tcPr>
            <w:tcW w:w="32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银监会、证监会、工业和信息化部、发展改革委等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outset" w:color="000000" w:sz="6" w:space="0"/>
            <w:insideV w:val="outset" w:color="000000" w:sz="6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0"/>
                <w:szCs w:val="20"/>
              </w:rPr>
              <w:t>16</w:t>
            </w:r>
          </w:p>
        </w:tc>
        <w:tc>
          <w:tcPr>
            <w:tcW w:w="38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督促企业严格执行有关法律法规和政策，规范操作程序，加强信息披露。有效防范和打击内幕交易和市场操纵行为，防止恶意收购，防止以企业兼并重组之名甩包袱、偷逃税款、逃废债务，防止国有资产流失。</w:t>
            </w:r>
          </w:p>
        </w:tc>
        <w:tc>
          <w:tcPr>
            <w:tcW w:w="182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工业和信息化部</w:t>
            </w:r>
          </w:p>
        </w:tc>
        <w:tc>
          <w:tcPr>
            <w:tcW w:w="32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发展改革委、财政部、商务部、国资委、人民银行、税务总局、工商总局、银监会、证监会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outset" w:color="000000" w:sz="6" w:space="0"/>
            <w:insideV w:val="outset" w:color="000000" w:sz="6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0"/>
                <w:szCs w:val="20"/>
              </w:rPr>
              <w:t>17</w:t>
            </w:r>
          </w:p>
        </w:tc>
        <w:tc>
          <w:tcPr>
            <w:tcW w:w="38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深入研究企业兼并重组中可能出现的各种矛盾和问题，加强风险评估，制定相应的应对预案。</w:t>
            </w:r>
          </w:p>
        </w:tc>
        <w:tc>
          <w:tcPr>
            <w:tcW w:w="182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工业和信息化部</w:t>
            </w:r>
          </w:p>
        </w:tc>
        <w:tc>
          <w:tcPr>
            <w:tcW w:w="32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发展改革委、财政部、人力资源社会保障部、商务部、人民银行、国资委、银监会、证监会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outset" w:color="000000" w:sz="6" w:space="0"/>
            <w:insideV w:val="outset" w:color="000000" w:sz="6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0"/>
                <w:szCs w:val="20"/>
              </w:rPr>
              <w:t>18</w:t>
            </w:r>
          </w:p>
        </w:tc>
        <w:tc>
          <w:tcPr>
            <w:tcW w:w="38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对达到经营者集中法定申报标准的企业兼并重组，依法进行经营者集中审查。</w:t>
            </w:r>
          </w:p>
        </w:tc>
        <w:tc>
          <w:tcPr>
            <w:tcW w:w="182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商务部</w:t>
            </w:r>
          </w:p>
        </w:tc>
        <w:tc>
          <w:tcPr>
            <w:tcW w:w="32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发展改革委、工业和信息化部、国资委等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outset" w:color="000000" w:sz="6" w:space="0"/>
            <w:insideV w:val="outset" w:color="000000" w:sz="6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0"/>
                <w:szCs w:val="20"/>
              </w:rPr>
              <w:t>19</w:t>
            </w:r>
          </w:p>
        </w:tc>
        <w:tc>
          <w:tcPr>
            <w:tcW w:w="38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完善相关管理办法，加强和完善对重大的企业兼并重组交易的管理。</w:t>
            </w:r>
          </w:p>
        </w:tc>
        <w:tc>
          <w:tcPr>
            <w:tcW w:w="182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工业和信息化部</w:t>
            </w:r>
          </w:p>
        </w:tc>
        <w:tc>
          <w:tcPr>
            <w:tcW w:w="32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发展改革委、财政部、商务部、国资委、证监会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outset" w:color="000000" w:sz="6" w:space="0"/>
            <w:insideV w:val="outset" w:color="000000" w:sz="6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900" w:hRule="atLeast"/>
          <w:jc w:val="center"/>
        </w:trPr>
        <w:tc>
          <w:tcPr>
            <w:tcW w:w="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0"/>
                <w:szCs w:val="20"/>
              </w:rPr>
              <w:t>20</w:t>
            </w:r>
          </w:p>
        </w:tc>
        <w:tc>
          <w:tcPr>
            <w:tcW w:w="38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建立企业兼并重组工作部际协调机制。</w:t>
            </w:r>
          </w:p>
        </w:tc>
        <w:tc>
          <w:tcPr>
            <w:tcW w:w="182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eastAsia" w:ascii="宋体" w:hAnsi="宋体" w:eastAsia="宋体" w:cs="宋体"/>
                <w:caps w:val="0"/>
                <w:spacing w:val="0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工业和信息化部</w:t>
            </w:r>
          </w:p>
        </w:tc>
        <w:tc>
          <w:tcPr>
            <w:tcW w:w="328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0"/>
                <w:szCs w:val="20"/>
              </w:rPr>
              <w:t>发展改革委、财政部、人力资源社会保障部、国土资源部、商务部、人民银行、国资委、税务总局、工商总局、银监会、证监会等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ource Sans Pro">
    <w:panose1 w:val="020B0503030403020204"/>
    <w:charset w:val="00"/>
    <w:family w:val="auto"/>
    <w:pitch w:val="default"/>
    <w:sig w:usb0="20000007" w:usb1="00000001" w:usb2="00000000" w:usb3="00000000" w:csb0="20000193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8E2AEC"/>
    <w:rsid w:val="0D8E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2018-04-12T01:04:00Z</dcterms:created>
  <dc:creator>腿粗只为让你抱</dc:creator>
  <cp:lastModifiedBy>腿粗只为让你抱</cp:lastModifiedBy>
  <dcterms:modified xsi:type="dcterms:W3CDTF">2018-04-12T03:50:41Z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