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05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845"/>
        <w:gridCol w:w="763"/>
        <w:gridCol w:w="582"/>
        <w:gridCol w:w="1905"/>
        <w:gridCol w:w="23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</w:trPr>
        <w:tc>
          <w:tcPr>
            <w:tcW w:w="82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45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事项名称</w:t>
            </w:r>
          </w:p>
        </w:tc>
        <w:tc>
          <w:tcPr>
            <w:tcW w:w="1345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国税机关办理方式</w:t>
            </w:r>
          </w:p>
        </w:tc>
        <w:tc>
          <w:tcPr>
            <w:tcW w:w="4290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地税机关办理方式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</w:trPr>
        <w:tc>
          <w:tcPr>
            <w:tcW w:w="82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84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网上办理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办税服务厅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网上办理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办税服务厅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变更登记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网上办税服务厅-涉税事项办理系统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外出经营报验登记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网上办税服务厅-涉税事项办理系统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存款账户账号报告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网上办税服务厅-涉税事项办理系统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财务会计制度及核算软件备案报告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网上办税服务厅-涉税事项办理系统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财务会计报告报送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网上办税服务厅-网上申报系统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纳税人合并分立情况报告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网上办税服务厅-涉税事项办理系统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</w:trPr>
        <w:tc>
          <w:tcPr>
            <w:tcW w:w="8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欠税人处置不动产或大额资产报告</w:t>
            </w:r>
          </w:p>
        </w:tc>
        <w:tc>
          <w:tcPr>
            <w:tcW w:w="7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网上办税服务厅-涉税事项办理系统</w:t>
            </w:r>
          </w:p>
        </w:tc>
        <w:tc>
          <w:tcPr>
            <w:tcW w:w="5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金税三期核心征管系统</w:t>
            </w:r>
          </w:p>
        </w:tc>
        <w:tc>
          <w:tcPr>
            <w:tcW w:w="1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电子税务局</w:t>
            </w:r>
          </w:p>
        </w:tc>
        <w:tc>
          <w:tcPr>
            <w:tcW w:w="238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金税三期核心征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200E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duan</dc:creator>
  <cp:lastModifiedBy>大哥惯过谁</cp:lastModifiedBy>
  <dcterms:modified xsi:type="dcterms:W3CDTF">2018-09-05T02:15:21Z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