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i w:val="0"/>
          <w:caps w:val="0"/>
          <w:color w:val="000000" w:themeColor="text1"/>
          <w:spacing w:val="0"/>
          <w:sz w:val="21"/>
          <w:szCs w:val="21"/>
          <w14:textFill>
            <w14:solidFill>
              <w14:schemeClr w14:val="tx1"/>
            </w14:solidFill>
          </w14:textFill>
        </w:rPr>
      </w:pPr>
      <w:bookmarkStart w:id="0" w:name="_GoBack"/>
      <w:r>
        <w:rPr>
          <w:rFonts w:hint="eastAsia" w:ascii="宋体" w:hAnsi="宋体" w:eastAsia="宋体" w:cs="宋体"/>
          <w:i w:val="0"/>
          <w:caps w:val="0"/>
          <w:color w:val="000000" w:themeColor="text1"/>
          <w:spacing w:val="0"/>
          <w:sz w:val="21"/>
          <w:szCs w:val="21"/>
          <w:bdr w:val="none" w:color="auto" w:sz="0" w:space="0"/>
          <w:shd w:val="clear" w:fill="FFFFFF"/>
          <w14:textFill>
            <w14:solidFill>
              <w14:schemeClr w14:val="tx1"/>
            </w14:solidFill>
          </w14:textFill>
        </w:rPr>
        <w:t>厦门市地方税务局行政审批事项目录</w:t>
      </w:r>
    </w:p>
    <w:bookmarkEnd w:id="0"/>
    <w:p>
      <w:pPr>
        <w:keepNext w:val="0"/>
        <w:keepLines w:val="0"/>
        <w:pageBreakBefore w:val="0"/>
        <w:widowControl/>
        <w:suppressLineNumbers w:val="0"/>
        <w:kinsoku/>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1"/>
          <w:szCs w:val="21"/>
        </w:rPr>
      </w:pPr>
    </w:p>
    <w:tbl>
      <w:tblPr>
        <w:tblW w:w="8800" w:type="dxa"/>
        <w:jc w:val="center"/>
        <w:tblCellSpacing w:w="0" w:type="dxa"/>
        <w:tblInd w:w="-20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
      <w:tblGrid>
        <w:gridCol w:w="961"/>
        <w:gridCol w:w="993"/>
        <w:gridCol w:w="593"/>
        <w:gridCol w:w="900"/>
        <w:gridCol w:w="2857"/>
        <w:gridCol w:w="1207"/>
        <w:gridCol w:w="12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303"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项目编码</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项目名称</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子项</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审批类别</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实施依据</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审批机关</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Style w:val="4"/>
                <w:rFonts w:hint="eastAsia" w:ascii="宋体" w:hAnsi="宋体" w:eastAsia="宋体" w:cs="宋体"/>
                <w:b/>
                <w:i w:val="0"/>
                <w:caps w:val="0"/>
                <w:color w:val="333333"/>
                <w:spacing w:val="0"/>
                <w:kern w:val="0"/>
                <w:sz w:val="21"/>
                <w:szCs w:val="21"/>
                <w:bdr w:val="none" w:color="auto" w:sz="0" w:space="0"/>
                <w:lang w:val="en-US" w:eastAsia="zh-CN" w:bidi="ar"/>
              </w:rPr>
              <w:t>审批对象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5970"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01-DS-XK-01</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印花税票代售许可</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无</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行政许可</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国务院对确需保留的行政审批项目设定行政许可的决定》（国务院令第412号）第235项；《印花税暂行条例施行细则》第32条：“凡代售印花税票者，应先向当地税务机关提出代售申请，必要时须提供保证人。税务机关调查核准后，应与代售户签订代售合同，发给代售许可证。”</w:t>
            </w:r>
            <w:r>
              <w:rPr>
                <w:rFonts w:hint="eastAsia" w:ascii="宋体" w:hAnsi="宋体" w:eastAsia="宋体" w:cs="宋体"/>
                <w:i w:val="0"/>
                <w:caps w:val="0"/>
                <w:color w:val="333333"/>
                <w:spacing w:val="0"/>
                <w:kern w:val="0"/>
                <w:sz w:val="21"/>
                <w:szCs w:val="21"/>
                <w:bdr w:val="none" w:color="auto" w:sz="0" w:space="0"/>
                <w:lang w:val="en-US" w:eastAsia="zh-CN" w:bidi="ar"/>
              </w:rPr>
              <w:br w:type="textWrapping"/>
            </w:r>
            <w:r>
              <w:rPr>
                <w:rFonts w:hint="eastAsia" w:ascii="宋体" w:hAnsi="宋体" w:eastAsia="宋体" w:cs="宋体"/>
                <w:i w:val="0"/>
                <w:caps w:val="0"/>
                <w:color w:val="333333"/>
                <w:spacing w:val="0"/>
                <w:kern w:val="0"/>
                <w:sz w:val="21"/>
                <w:szCs w:val="21"/>
                <w:bdr w:val="none" w:color="auto" w:sz="0" w:space="0"/>
                <w:lang w:val="en-US" w:eastAsia="zh-CN" w:bidi="ar"/>
              </w:rPr>
              <w:br w:type="textWrapping"/>
            </w:r>
            <w:r>
              <w:rPr>
                <w:rFonts w:hint="eastAsia" w:ascii="宋体" w:hAnsi="宋体" w:eastAsia="宋体" w:cs="宋体"/>
                <w:i w:val="0"/>
                <w:caps w:val="0"/>
                <w:color w:val="333333"/>
                <w:spacing w:val="0"/>
                <w:kern w:val="0"/>
                <w:sz w:val="21"/>
                <w:szCs w:val="21"/>
                <w:bdr w:val="none" w:color="auto" w:sz="0" w:space="0"/>
                <w:lang w:val="en-US" w:eastAsia="zh-CN" w:bidi="ar"/>
              </w:rPr>
              <w:t> </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区级地税局</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印花税票代售户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5970"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01-DS-XK-02</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对纳税人延期缴纳税款的核准</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无</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行政许可</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  《中华人民共和国税收征收管理法》第31条第2款：“纳税人因有特殊困难，不能按期缴纳税款的，经</w:t>
            </w:r>
            <w:r>
              <w:rPr>
                <w:rStyle w:val="4"/>
                <w:rFonts w:hint="eastAsia" w:ascii="宋体" w:hAnsi="宋体" w:eastAsia="宋体" w:cs="宋体"/>
                <w:b/>
                <w:i w:val="0"/>
                <w:caps w:val="0"/>
                <w:color w:val="333333"/>
                <w:spacing w:val="0"/>
                <w:kern w:val="0"/>
                <w:sz w:val="21"/>
                <w:szCs w:val="21"/>
                <w:bdr w:val="none" w:color="auto" w:sz="0" w:space="0"/>
                <w:lang w:val="en-US" w:eastAsia="zh-CN" w:bidi="ar"/>
              </w:rPr>
              <w:t>省</w:t>
            </w:r>
            <w:r>
              <w:rPr>
                <w:rFonts w:hint="eastAsia" w:ascii="宋体" w:hAnsi="宋体" w:eastAsia="宋体" w:cs="宋体"/>
                <w:i w:val="0"/>
                <w:caps w:val="0"/>
                <w:color w:val="333333"/>
                <w:spacing w:val="0"/>
                <w:kern w:val="0"/>
                <w:sz w:val="21"/>
                <w:szCs w:val="21"/>
                <w:bdr w:val="none" w:color="auto" w:sz="0" w:space="0"/>
                <w:lang w:val="en-US" w:eastAsia="zh-CN" w:bidi="ar"/>
              </w:rPr>
              <w:t>、自治区、直辖市国家税务局、地方税务局批准，可以延期缴纳税款，但是最长不得超过三个月。”</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市地税局</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纳税人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5970"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01-DS-XK-03</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对纳税人延期申报的核准</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无</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行政许可</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  《中华人民共和国税收征收管理法》第27条：“纳税人、扣缴义务人不能按期办理纳税申报或者报送代扣代缴、代收代缴税款报告表的，经税务机关核准，可以延期申报。”第37条：“纳税人、扣缴义务人按照规定的期限办理纳税申报或者报送代扣代缴、代收代缴税款报告表确有困难，需要延期的，应当在规定的期限内向税务机关提出书面延期申请，经税务机关核准，在核准的期限内办理。纳税人、扣缴义务人因不可抗力，不能按期办理纳税申报或者报送代扣代缴、代收代缴税款报告表的，可以延期办理；但是，应当在不可抗力情形消除后立即向税务机关报告。税务机关应当查明事实，予以核准。”</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区级地税局</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纳税人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5970"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01-DS-XK-04</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对纳税人变更纳税定额的核准</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无</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行政许可</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  《中华人民共和国税收征收管理法实施细则》第47条：“纳税人对税务机关采取本条规定的方法核定的应纳税额有异议的，应当提供相关证据，经税务机关认定后，调整应纳税额。”</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区级地税局</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纳税人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fixed"/>
          <w:tblCellMar>
            <w:top w:w="0" w:type="dxa"/>
            <w:left w:w="0" w:type="dxa"/>
            <w:bottom w:w="0" w:type="dxa"/>
            <w:right w:w="0" w:type="dxa"/>
          </w:tblCellMar>
        </w:tblPrEx>
        <w:trPr>
          <w:trHeight w:val="5970" w:hRule="atLeast"/>
          <w:tblCellSpacing w:w="0" w:type="dxa"/>
          <w:jc w:val="center"/>
        </w:trPr>
        <w:tc>
          <w:tcPr>
            <w:tcW w:w="961"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01-DS-XK-05</w:t>
            </w:r>
          </w:p>
        </w:tc>
        <w:tc>
          <w:tcPr>
            <w:tcW w:w="9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对采取实际利润额预缴以外的其他企业所得税预缴方式的核定</w:t>
            </w:r>
          </w:p>
        </w:tc>
        <w:tc>
          <w:tcPr>
            <w:tcW w:w="593"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无</w:t>
            </w:r>
          </w:p>
        </w:tc>
        <w:tc>
          <w:tcPr>
            <w:tcW w:w="900"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行政许可</w:t>
            </w:r>
          </w:p>
        </w:tc>
        <w:tc>
          <w:tcPr>
            <w:tcW w:w="285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  《中华人民共和国企业所得税法实施条例》第128条：“企业所得税分月或分季预缴，由税务机关具体核定。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w:t>
            </w:r>
          </w:p>
        </w:tc>
        <w:tc>
          <w:tcPr>
            <w:tcW w:w="1207"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区级地税局</w:t>
            </w:r>
          </w:p>
        </w:tc>
        <w:tc>
          <w:tcPr>
            <w:tcW w:w="1289" w:type="dxa"/>
            <w:shd w:val="clear" w:color="auto" w:fill="FFFFFF"/>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rightChars="0" w:firstLine="0" w:firstLineChars="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kern w:val="0"/>
                <w:sz w:val="21"/>
                <w:szCs w:val="21"/>
                <w:bdr w:val="none" w:color="auto" w:sz="0" w:space="0"/>
                <w:lang w:val="en-US" w:eastAsia="zh-CN" w:bidi="ar"/>
              </w:rPr>
              <w:t>纳税人</w:t>
            </w:r>
          </w:p>
        </w:tc>
      </w:tr>
    </w:tbl>
    <w:p>
      <w:pPr>
        <w:keepNext w:val="0"/>
        <w:keepLines w:val="0"/>
        <w:pageBreakBefore w:val="0"/>
        <w:kinsoku/>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90FFB"/>
    <w:rsid w:val="08590FFB"/>
    <w:rsid w:val="150A57F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paragraph" w:customStyle="1" w:styleId="6">
    <w:name w:val="样式1"/>
    <w:basedOn w:val="2"/>
    <w:qFormat/>
    <w:uiPriority w:val="0"/>
    <w:pPr>
      <w:spacing w:after="121"/>
      <w:jc w:val="both"/>
    </w:pPr>
    <w:rPr>
      <w:rFonts w:ascii="Calibri" w:hAnsi="Calibri" w:eastAsia="微软雅黑" w:cs="Times New Roman"/>
      <w:kern w:val="0"/>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2018-09-05T06:43:00Z</dcterms:created>
  <dc:creator>songshujiao</dc:creator>
  <cp:lastModifiedBy>songshujiao</cp:lastModifiedBy>
  <dcterms:modified xsi:type="dcterms:W3CDTF">2018-09-05T06:44:58Z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