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147" w:rsidRPr="004B2147" w:rsidRDefault="004B2147" w:rsidP="004B2147">
      <w:pPr>
        <w:spacing w:after="0" w:line="360" w:lineRule="auto"/>
        <w:jc w:val="center"/>
        <w:rPr>
          <w:rFonts w:asciiTheme="minorEastAsia" w:eastAsiaTheme="minorEastAsia" w:hAnsiTheme="minorEastAsia" w:hint="eastAsia"/>
          <w:b/>
          <w:sz w:val="21"/>
          <w:szCs w:val="21"/>
        </w:rPr>
      </w:pPr>
      <w:r w:rsidRPr="004B2147">
        <w:rPr>
          <w:rFonts w:asciiTheme="minorEastAsia" w:eastAsiaTheme="minorEastAsia" w:hAnsiTheme="minorEastAsia" w:hint="eastAsia"/>
          <w:b/>
          <w:sz w:val="21"/>
          <w:szCs w:val="21"/>
        </w:rPr>
        <w:t>大额现金管理先行先试方案</w:t>
      </w:r>
    </w:p>
    <w:p w:rsidR="004B2147" w:rsidRPr="004B2147" w:rsidRDefault="004B2147" w:rsidP="004B2147">
      <w:pPr>
        <w:spacing w:after="0" w:line="360" w:lineRule="auto"/>
        <w:rPr>
          <w:rFonts w:asciiTheme="minorEastAsia" w:eastAsiaTheme="minorEastAsia" w:hAnsiTheme="minorEastAsia"/>
          <w:sz w:val="21"/>
          <w:szCs w:val="21"/>
        </w:rPr>
      </w:pP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为深入贯彻落实党中央、国务院决策部署，推进大额现金管理工作，把握大额现金流通使用规律，探索大额现金管理实现路径，总结大额现金管理经验，依据《中华人民共和国中国人民银行法》《现金管理暂行条例》等法律法规，在河北省、浙江省、深圳市开展大额现金管理先行先试，制定本方案。</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一、总体要求</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从我国实际出发，补齐大额现金流通使用管理领域监管短板，加强大额现金流通使用情况分析和信息共享，规范大额现金使用，建立覆盖全社会的大额现金交易监测网络，优化现金流通环境，节约社会资源，遏制利用大额现金进行违法犯罪，维护经济金融秩序。</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(一)指导思想。</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充分认识大额现金管理对优化社会治理、打击金融违法犯罪的重要意义，按照保障合理需求、抑制不合理需求、遏制非法需求的要求，坚持重引导、抓关键、强管理、促服务的工作理念，结合实际，在规范管理、统计分析、制度创新、部门协同、监督检查等方面先行先试，在实践中深入研究构建大额现金管理机制，探索大额现金管理工作新路径。</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(二)基本原则。</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坚持立足长远，循序渐进。尽可能地创造条件，全面验证大额现金管理措施。广泛推开实施基础好、争议小、易操作的措施,积累经验。探索实施基础尚不太完善、争议大、难操作的措施，研究化解症结。</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坚持顶层设计，因地制宜。人民银行总行统筹协调，统一原则，统一步骤，集中领导。试点地区基于当地经济发展水平和大额用现情况，积极创新，分步实施。</w:t>
      </w:r>
    </w:p>
    <w:p w:rsidR="004B2147" w:rsidRPr="004B2147" w:rsidRDefault="004B2147" w:rsidP="004B2147">
      <w:pPr>
        <w:spacing w:after="0" w:line="360" w:lineRule="auto"/>
        <w:rPr>
          <w:rFonts w:asciiTheme="minorEastAsia" w:eastAsiaTheme="minorEastAsia" w:hAnsiTheme="minorEastAsia"/>
          <w:sz w:val="21"/>
          <w:szCs w:val="21"/>
        </w:rPr>
      </w:pP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坚持多方参与，协同监管。集合试点地区人民银行分支机构、政府、行业主管部门力量，发挥银行业金融机构和行业自律组织作用，形成沟通顺畅、协作推进的工作合力。</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(三)工作方针。</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规范与引导相结合。明确对已有但相对分散、弱化的大额现金存取业务的统一管理措施，以及对尚存空白的特定行业、特定用途大额用现情形的监测管理措施，加强对单位和社会公众大额用现的宣传引导，推广合理用现理念，鼓励使用非现金支付方式。</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业务与信息相结合。坚持大额现金管理工作的信息化方向，统筹考虑业务需求与信息系统技术需求，通过建设大额现金管理信息系统，实现信息支撑与共享，减少银行业金融机构人工工作量，提高数据信息的准确性。</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管理与服务相结合。试点地区银行业金融机构承担大额现金存取业务管理的直接责任，在提升现金服务的基础上，加强内控与尽职审查。试点地区人民银行分支机构指导银行业金融机构落实管理要求，施行管理措施，加强检查评估。</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lastRenderedPageBreak/>
        <w:t xml:space="preserve">　　二、主要任务</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(—)全面规范银行业金融机构大额现金业务。</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1.明确大额现金存取业务管理范围。</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人民银行石家庄中心支行、杭州中心支行、深圳市中心支行(以下统称试点行)参考本地现金分析数据，基于企业和个人用现特点，听取银行业金融机构、个人、企业等方面意见，在充分调研的基础上，确定本次试点针对的大额现金业务管理范围。</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管理金额起点须符合人民银行总行对起点金额以上业务笔数、金额在总业务量中比例要求，不影响个人、企业特别是个体工商户正常、合理的用现需要，对监测非常规大额庄现行为有针对性，既避免银行业金融机构工作负担过重，又对客户的整体影响较小。经试点行调研分析，各地对公账户管理金额起点均为50万元，对私账户管理金额起点分别为河北省10万元、浙江省30万元、深圳市20万元。</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管理业务情形以有现金实物交接的柜面业务为主，包含通过大额高速存取款设备自助存取款情形，并须针对拆分、现金隐匿过账等规避监管、“伪大额现金交易”情形制定防范措施，既监测单笔超过起点金额的交易，也监测多笔累计超过起点金额的交易。</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2.规范大额取现预约业务。</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试点行指导银行业金融机构自行建立相关预约规则，明确客户预约的时间、渠道方式、信息要素，并保存预约信息，向试点行报送。</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银行业金融机构应主动宣传预约理念，完善预约业务流程，为客户办理预约创造便利条件，逐步强化约束机制。</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银行业金融机构应针对国家安全应急需要等紧急大额取现情形，制定应急流程。</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银行业金融机构应将预约业务与库存现金调拨保管、向人民银行发行库预约业务相结合，优化整合内部现金流转。</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3.建立大额存取现登记制度。</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客户提取、存入起点金额之上的现金，应在办理业务时进行登记。</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试点行确定本地区客户登记的信息要素，要求银行业金融机构采集、保存、统计上报登记信息。</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银行业金融机构应加强宣传解释与主动引导，完善登记业务，为客户办理登记创造便利条件，提高效率。</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银行业金融机构应针对企业、单位发放工资、日常性大额存取现，以及政府机关、行政事业单位、军队等因履职需要发生的大额现金存取，制定简化流程。</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试点行统筹考虑人民银行冠字号码数据集中要求与大额现金监测要求，指导银行业金融机构实现起点以上存取业务的信息与现金实物的冠字号码相关联、可追溯。</w:t>
      </w:r>
    </w:p>
    <w:p w:rsidR="004B2147" w:rsidRPr="004B2147" w:rsidRDefault="004B2147" w:rsidP="004B2147">
      <w:pPr>
        <w:spacing w:after="0" w:line="360" w:lineRule="auto"/>
        <w:rPr>
          <w:rFonts w:asciiTheme="minorEastAsia" w:eastAsiaTheme="minorEastAsia" w:hAnsiTheme="minorEastAsia"/>
          <w:sz w:val="21"/>
          <w:szCs w:val="21"/>
        </w:rPr>
      </w:pP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4.建立大额现金业务风险防范制度。</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lastRenderedPageBreak/>
        <w:t xml:space="preserve">　　试点行分析本地区易产生大量现金交易行业的用现特点和风险等级，指导银行业金融机构按照行业、金额实行取现分级审核措施，加强大额用现引导与风险跟踪监测。</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银行业金融机构应加深对用现客户的了解，对于易产生大量现金交易行业的客户，加强风险提示与信息沟通，引导其使用非现金支付工具。对于确有大额用现需求的，保障其合理用现需要。对于客户来自风险较高行业、交易金额特别巨大、交易频率或金额与客户身份及日常交易特征不符等情形，严格对信息真实性、规范性的审核，发现或有合理理由怀疑客户涉嫌洗钱等犯罪活动的，应提交可疑交易报吿，并进行风险标注，后续跟踪，记录备查。</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5.建立大额现金分析报告制度。</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试点行要求银行业金融机构报送大额现金业务信息，包括取现预约、存取现登记、分级审核、风险信息等。加强自身大额现金分析水平，对银行业金融机构报送的大额现金业务信息区分行业、用途、金额进行分析，掌握大额现金流向，预判大额现金业务风险。在确保个人信息安全和严格规范信息用途的前提下，与相关部门交流、共享信息。</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试点行指导银行业金融机构将预约、登记、风险防范要求与反洗钱大额和可疑交易报送、自身业务流程及信息系统有机结合,实现大额现金业务信息的整合、归集，提高信息采集效率及准确性。</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6.建立大额现金业务监督检查制度。</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试点行检查银行业金融机构落实大额现金管理要求的情况，定期评估试点成效。发挥行业自律组织作用，通过行业公约等多种形式约束银行行为。</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(二)探索大额现金综合管理措施。</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7.特定行业企业大额现金交易记录及报告。</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人民银行石家庄中心支行依托房地产领域反洗钱工作框架，就邢台市房地产行业建立与财政、住建等部门协作机制，要求企业规范现金日记账信息要素，报送一定金额以上的现金交易，人民银行石家庄中心支行定期分析大额现金交易情况。邢台市住房和城乡建设(房地产)主管部门加强房屋交易资金监管，严格落实商品房预售资金监管制度。</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8.特定行业企业大额取现及用现管理。</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人民银行杭州中心支行对浙江省批发零售、房地产销售、建筑、汽车销售行业，分别确定上述行业企业大额现金提取额度标准。指导银行业金融机构对于企业超出额度的取现业务，引导使用非现金支付方式。</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确有大额取现需要的，银行业金融机构在预约环节加强管理提示，在取现环节加强交易资料真实性审核，在后续环节重点关注客户现金使用情况。</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浙江省住房和城乡建设(房地产)主管部门加强房屋交易资金监管，严格落实商品房预售资金监管制度。</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9.个人账户大额用现管理。</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lastRenderedPageBreak/>
        <w:t xml:space="preserve">　　人民银行深圳市中心支行加强对利用个人账户进行经营性收支行为管控，细分个人账户经营性收支来源与用途。</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在监测行业分布的基础上，对一定金额以上的个人账户经营性收支加强真实性审核。对于可能存在风险的现金收支，对个人账户进行风险标注，并持续跟踪监测。</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探索实现对同一主体对公对私账户的对应监测。</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10.个人现金收入报告。</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选择试点地区适宜地市，探索从部分国家机关、国有企事业单位领导人员入手，推动该部分个人主体报告一定金额以上现金收入的交易性质、交易金额等信息。</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11.大额现金出入境监测。</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人民银行深圳市中心支行加强与香港地区人民币清算行的沟通协调，监测境外人民币现金业务情况。</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监测口岸地区个人账户大额现金收支，分析境内居民、境外非居民大额现金存取信息。</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加强与深圳海关信息交流，建立个人携现跨境情况定期通报机制，探索对存在风险隐患的现金入境强化信息采集及后续跟踪。</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三、保障措施</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(一)细化试点要求。试点行基于本方案和人民银行总行确定的业务规则，制定本地实施细则，确保试点措施切实可行。</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二)建设大额现金管理信息系统。人民银行总行确定系统架构设计、业务需求、接口规范，商业银行通过省级数据中心接入大额现金管理信息系统。人民银行石家庄中心支行修改完善现有信息系统，并推广至人民银行杭州中心支行、深圳市中心支行。试点行做好信息系统的网络配套及管理工作。系统应用前，试点地区银行业金融机构通过金融城域网人工报送数据。</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(三)加强政策宣传解读。试点行根据人民银行总行政策解读内容，结合实际，加强与公众及媒体沟通，主动宣传有关政策,指导银行业金融机构回应客户关切。</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(四)加强外部沟通协作。试点行加强与地方政府、发展改革、财政、税务、金融监管及有关行业主管部门的沟通协调，促进达成共识，明确职责分工，共同推动试点工作。</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四、实施计划</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(—)试点准备。</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人民银行总行印发试点通知，确定试点评估方案。试点行制定本地试点实施细则，部署信息系统。布置银行业金融机构完善业务，改造自身业务系统。</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(二)进行试点。</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业务试点先行推进，信息系统配套跟进，实现试点地区银行业金融机构通过信息系统报送数据。</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t xml:space="preserve">　　(三)试点评估。</w:t>
      </w:r>
    </w:p>
    <w:p w:rsidR="004B2147" w:rsidRPr="004B2147" w:rsidRDefault="004B2147" w:rsidP="004B2147">
      <w:pPr>
        <w:spacing w:after="0" w:line="360" w:lineRule="auto"/>
        <w:rPr>
          <w:rFonts w:asciiTheme="minorEastAsia" w:eastAsiaTheme="minorEastAsia" w:hAnsiTheme="minorEastAsia" w:hint="eastAsia"/>
          <w:sz w:val="21"/>
          <w:szCs w:val="21"/>
        </w:rPr>
      </w:pPr>
      <w:r w:rsidRPr="004B2147">
        <w:rPr>
          <w:rFonts w:asciiTheme="minorEastAsia" w:eastAsiaTheme="minorEastAsia" w:hAnsiTheme="minorEastAsia" w:hint="eastAsia"/>
          <w:sz w:val="21"/>
          <w:szCs w:val="21"/>
        </w:rPr>
        <w:lastRenderedPageBreak/>
        <w:t xml:space="preserve">　　试点行评估上报本地试点情况。人民银行总行组织开展第三方评估。</w:t>
      </w:r>
    </w:p>
    <w:p w:rsidR="004B2147" w:rsidRPr="004B2147" w:rsidRDefault="004B2147" w:rsidP="004B2147">
      <w:pPr>
        <w:spacing w:after="0" w:line="360" w:lineRule="auto"/>
        <w:rPr>
          <w:rFonts w:asciiTheme="minorEastAsia" w:eastAsiaTheme="minorEastAsia" w:hAnsiTheme="minorEastAsia"/>
          <w:sz w:val="21"/>
          <w:szCs w:val="21"/>
        </w:rPr>
      </w:pPr>
    </w:p>
    <w:p w:rsidR="004358AB" w:rsidRPr="004B2147" w:rsidRDefault="004358AB" w:rsidP="004B2147">
      <w:pPr>
        <w:spacing w:after="0" w:line="360" w:lineRule="auto"/>
        <w:rPr>
          <w:rFonts w:asciiTheme="minorEastAsia" w:eastAsiaTheme="minorEastAsia" w:hAnsiTheme="minorEastAsia"/>
          <w:sz w:val="21"/>
          <w:szCs w:val="21"/>
        </w:rPr>
      </w:pPr>
    </w:p>
    <w:sectPr w:rsidR="004358AB" w:rsidRPr="004B2147"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51F4" w:rsidRDefault="007951F4" w:rsidP="004B2147">
      <w:pPr>
        <w:spacing w:after="0"/>
      </w:pPr>
      <w:r>
        <w:separator/>
      </w:r>
    </w:p>
  </w:endnote>
  <w:endnote w:type="continuationSeparator" w:id="0">
    <w:p w:rsidR="007951F4" w:rsidRDefault="007951F4" w:rsidP="004B2147">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A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51F4" w:rsidRDefault="007951F4" w:rsidP="004B2147">
      <w:pPr>
        <w:spacing w:after="0"/>
      </w:pPr>
      <w:r>
        <w:separator/>
      </w:r>
    </w:p>
  </w:footnote>
  <w:footnote w:type="continuationSeparator" w:id="0">
    <w:p w:rsidR="007951F4" w:rsidRDefault="007951F4" w:rsidP="004B2147">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6146"/>
  </w:hdrShapeDefaults>
  <w:footnotePr>
    <w:footnote w:id="-1"/>
    <w:footnote w:id="0"/>
  </w:footnotePr>
  <w:endnotePr>
    <w:endnote w:id="-1"/>
    <w:endnote w:id="0"/>
  </w:endnotePr>
  <w:compat>
    <w:useFELayout/>
  </w:compat>
  <w:rsids>
    <w:rsidRoot w:val="00D31D50"/>
    <w:rsid w:val="00323B43"/>
    <w:rsid w:val="003D37D8"/>
    <w:rsid w:val="00426133"/>
    <w:rsid w:val="004358AB"/>
    <w:rsid w:val="004B2147"/>
    <w:rsid w:val="007951F4"/>
    <w:rsid w:val="008B7726"/>
    <w:rsid w:val="00D31D50"/>
    <w:rsid w:val="00F5465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B2147"/>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4B2147"/>
    <w:rPr>
      <w:rFonts w:ascii="Tahoma" w:hAnsi="Tahoma"/>
      <w:sz w:val="18"/>
      <w:szCs w:val="18"/>
    </w:rPr>
  </w:style>
  <w:style w:type="paragraph" w:styleId="a4">
    <w:name w:val="footer"/>
    <w:basedOn w:val="a"/>
    <w:link w:val="Char0"/>
    <w:uiPriority w:val="99"/>
    <w:semiHidden/>
    <w:unhideWhenUsed/>
    <w:rsid w:val="004B2147"/>
    <w:pPr>
      <w:tabs>
        <w:tab w:val="center" w:pos="4153"/>
        <w:tab w:val="right" w:pos="8306"/>
      </w:tabs>
    </w:pPr>
    <w:rPr>
      <w:sz w:val="18"/>
      <w:szCs w:val="18"/>
    </w:rPr>
  </w:style>
  <w:style w:type="character" w:customStyle="1" w:styleId="Char0">
    <w:name w:val="页脚 Char"/>
    <w:basedOn w:val="a0"/>
    <w:link w:val="a4"/>
    <w:uiPriority w:val="99"/>
    <w:semiHidden/>
    <w:rsid w:val="004B2147"/>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605</Words>
  <Characters>3451</Characters>
  <Application>Microsoft Office Word</Application>
  <DocSecurity>0</DocSecurity>
  <Lines>28</Lines>
  <Paragraphs>8</Paragraphs>
  <ScaleCrop>false</ScaleCrop>
  <Company/>
  <LinksUpToDate>false</LinksUpToDate>
  <CharactersWithSpaces>4048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2</cp:revision>
  <dcterms:created xsi:type="dcterms:W3CDTF">2008-09-11T17:20:00Z</dcterms:created>
  <dcterms:modified xsi:type="dcterms:W3CDTF">2020-06-12T00:25:00Z</dcterms:modified>
</cp:coreProperties>
</file>