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rPr>
      </w:pPr>
      <w:r>
        <w:rPr>
          <w:rFonts w:hint="eastAsia" w:ascii="宋体" w:hAnsi="宋体" w:eastAsia="宋体" w:cs="宋体"/>
        </w:rPr>
        <w:t>国家税务总局关于阶段性加快出口退税办理进度有关工作的通知</w:t>
      </w:r>
    </w:p>
    <w:p>
      <w:pPr>
        <w:spacing w:line="360" w:lineRule="auto"/>
        <w:jc w:val="center"/>
        <w:rPr>
          <w:rFonts w:hint="eastAsia" w:ascii="宋体" w:hAnsi="宋体" w:eastAsia="宋体" w:cs="宋体"/>
        </w:rPr>
      </w:pPr>
      <w:r>
        <w:rPr>
          <w:rFonts w:hint="eastAsia" w:ascii="宋体" w:hAnsi="宋体" w:eastAsia="宋体" w:cs="宋体"/>
        </w:rPr>
        <w:t>税总货劳函〔2022〕83号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国家税务总局各省、自治区、直辖市和计划单列市税务局，国家税务总局驻各地特派员办事处，局内各单位：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为深入贯彻党中央、国务院关于进一步稳外贸稳外资的决策部署，不折不扣落实国务院常务会议关于对信用好的企业阶段性加快出口退（免）税办理进度的要求，促进外贸保稳提质，提升对外开放水平，现就有关工作明确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一、阶段性加快出口退税进度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自2022年6月20日至2023年6月30日期间，税务部门办理一类、二类出口企业正常出口退（免）税的平均时间，压缩在3个工作日内。到期将视外贸发展和实际执行情况，进一步明确办理时间要求。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一类、二类出口企业，是指出口退税管理类别为一类和二类的出口企业。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正常出口退（免）税，是指经税务机关审核，符合现行规定且不存在涉嫌骗税等疑点的出口退（免）税业务。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二、做好宣传解读和纳税人辅导工作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加强一线人员培训。各地税务机关要切实做好12366纳税缴费服务热线和办税服务厅等基层一线工作人员关于进一步加快出口退税办理进度要求的相关培训，重点针对本通知加快办理退税进度要求、前期《税务总局等十部门关于进一步加大出口退税支持力度促进外贸平稳发展的通知》（税总货劳发〔2022〕36号，以下称《十部门通知》）内容、报送资料、业务口径等进行强化培训，全面提升业务水平和服务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开展政策精准推送。各地税务机关要按照税费优惠政策精准推送机制，通过本省电子税务局就阶段性加快出口退税进度相关举措，针对一类、二类出口企业等适用主体开展政策精准推送，并主动通过本地征纳沟通平台等多种渠道方式，区分企业不同类型人员开展更具针对性的信息推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做好纳税人宣传辅导。各地税务机关要结合本地实际，针对阶段性加快出口退税办理进度有关措施内容制作宣传产品，通过税务网站、征纳沟通平台、新媒体等渠道开展广泛而又务实的宣传。要进一步压实主管税务机关的网格化服务责任，针对适用主体分类开展政策解读和专项辅导，既要宣讲阶段性加快出口退税办理进度的重要意义，讲清本通知内容，又要辅导好操作流程，帮助纳税人懂政策、能申报、会操作，还要提示提醒纳税人严格加强风险内控，避免出现税收违法违规行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三、工作要求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提高思想认识，加强组织领导。对出口退税信用好的企业阶段性加快退税办理进度，是党中央、国务院为进一步稳外贸稳外资作出的一项重要部署，是税务机关在《十部门通知》基础上，进一步支持外贸稳定发展、更好服务高水平对外开放大局的重要举措。各级税务机关要切实强化政治担当，深化思想认识，结合接受中央巡视自查整改等工作，加强组织领导，加大督促指导，压实工作责任，坚持“快退、狠打、严查、外督、长宣”五措并举，确保本地区一类、二类出口企业正常出口退（免）税的平均办理时间不超过3个工作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加强工作统筹，确保快退税款。省级税务局要切实扛起主体责任，提前做好工作部署，全力保障信息系统运行稳定，密切跟踪各地办理进度，及时指导督促基层税务局落实落细。要强化出口退税、规划核算、征管科技、信息中心、数据风险等部门间协同配合，及时传递信息，确保按时办理退税。各级税务机关要上下联动，密切配合，协同发力，确保快退税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加强风险防控，加大打骗力度。各级税务机关要统筹做好加快出口退税办理进度与防范打击出口骗税工作，树牢底线思维，既对标时间要求加快出口退税办理进度，也杜绝片面追求进度而放松出口骗税风险防控。要加强出口退税风险分析应对工作，充分发挥六部门常态化打虚打骗工作机制作用，加大与公安、检察院、海关、人民银行、外汇管理局等部门的协作力度，紧盯出口骗税新情况、新动态，始终保持对“三假”涉税违法犯罪行为严查狠打的高压态势，更好营造公平公正营商环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四）强化内部监督，严查问题风险。各级税务机关在落实加快出口退税进度新举措的同时，要充分发扬自我革命精神，坚持刀刃向内，将“严查内错”贯穿政策落实全过程、各环节，严查税务人员落实加快出口退税进度中的不作为、慢作为、乱作为等失职失责行为，特别是对内外勾结骗取出口退税等违法行为，深入开展“一案双查”，从严从快严查彻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五）主动接受监督、听取各方意见。各级税务机关在全力推进出口退税办理进度的过程中，要充分运用落实税费支持政策直联工作机制、“税费服务产品体验”、政务网站、局长信箱等方式，真诚接受社会监督，主动听取多方意见，并做好各方意见建议的收集、分析、处理和反馈工作，确保纳税人和社会有关方面的意见建议得到及时有效回应，不断完善和改进服务举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六）持续广泛宣传，营造良好氛围。各级税务机关要积极主动开展政策宣传工作，持续跟踪纳税人受益情况以及政策执行效果，加强与媒体沟通联系，广泛宣传《十部门通知》和进一步加快出口退税进度新举措对促进外贸保稳提质、提升对外开放水平、稳住宏观经济大盘方面发挥的积极效应，营造良好的舆论氛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各级税务机关要密切跟踪工作进展，及时总结工作成效，落实中遇到问题请及时上报税务总局（货物和劳务税司）。</w:t>
      </w:r>
    </w:p>
    <w:p>
      <w:pPr>
        <w:spacing w:line="360" w:lineRule="auto"/>
        <w:rPr>
          <w:rFonts w:hint="eastAsia" w:ascii="宋体" w:hAnsi="宋体" w:eastAsia="宋体" w:cs="宋体"/>
        </w:rPr>
      </w:pPr>
    </w:p>
    <w:p>
      <w:pPr>
        <w:spacing w:line="360" w:lineRule="auto"/>
        <w:jc w:val="right"/>
        <w:rPr>
          <w:rFonts w:hint="eastAsia" w:ascii="宋体" w:hAnsi="宋体" w:eastAsia="宋体" w:cs="宋体"/>
        </w:rPr>
      </w:pPr>
      <w:r>
        <w:rPr>
          <w:rFonts w:hint="eastAsia" w:ascii="宋体" w:hAnsi="宋体" w:eastAsia="宋体" w:cs="宋体"/>
        </w:rPr>
        <w:t>国家税务总局</w:t>
      </w:r>
      <w:bookmarkStart w:id="0" w:name="_GoBack"/>
      <w:bookmarkEnd w:id="0"/>
    </w:p>
    <w:p>
      <w:pPr>
        <w:spacing w:line="360" w:lineRule="auto"/>
        <w:jc w:val="right"/>
        <w:rPr>
          <w:rFonts w:hint="eastAsia" w:ascii="宋体" w:hAnsi="宋体" w:eastAsia="宋体" w:cs="宋体"/>
        </w:rPr>
      </w:pPr>
      <w:r>
        <w:rPr>
          <w:rFonts w:hint="eastAsia" w:ascii="宋体" w:hAnsi="宋体" w:eastAsia="宋体" w:cs="宋体"/>
        </w:rPr>
        <w:t>2022年6月14日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2YzMyZjgxMzM1MDhkOGM1YWY1YTQzOGIxMzY4ZDYifQ=="/>
  </w:docVars>
  <w:rsids>
    <w:rsidRoot w:val="00000000"/>
    <w:rsid w:val="71573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2022-07-19T01:12:58Z</dcterms:created>
  <dc:creator>财春</dc:creator>
  <cp:lastModifiedBy>浅安</cp:lastModifiedBy>
  <dcterms:modified xsi:type="dcterms:W3CDTF">2022-07-19T01:16:53Z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B1AD347DC6C74740B38CEE8DC3DAF35A</vt:lpwstr>
  </property>
</Properties>
</file>